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EC93" w14:textId="7DD89A8A" w:rsidR="00F415C8" w:rsidRPr="007A1DC3" w:rsidRDefault="004671D2" w:rsidP="00EC7A75">
      <w:pPr>
        <w:pStyle w:val="paragraph"/>
        <w:jc w:val="center"/>
      </w:pPr>
      <w:r w:rsidRPr="00222512">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FA648F6" wp14:editId="64858091">
                <wp:simplePos x="0" y="0"/>
                <wp:positionH relativeFrom="column">
                  <wp:posOffset>1723390</wp:posOffset>
                </wp:positionH>
                <wp:positionV relativeFrom="margin">
                  <wp:align>top</wp:align>
                </wp:positionV>
                <wp:extent cx="4429125" cy="1076325"/>
                <wp:effectExtent l="0" t="0" r="9525" b="9525"/>
                <wp:wrapThrough wrapText="bothSides">
                  <wp:wrapPolygon edited="0">
                    <wp:start x="0" y="0"/>
                    <wp:lineTo x="0" y="21409"/>
                    <wp:lineTo x="21554" y="21409"/>
                    <wp:lineTo x="21554" y="0"/>
                    <wp:lineTo x="0" y="0"/>
                  </wp:wrapPolygon>
                </wp:wrapThrough>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9125" cy="1076325"/>
                        </a:xfrm>
                        <a:prstGeom prst="rect">
                          <a:avLst/>
                        </a:prstGeom>
                        <a:solidFill>
                          <a:srgbClr val="DCE6E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txbx>
                        <w:txbxContent>
                          <w:p w14:paraId="4C231684" w14:textId="77777777" w:rsidR="00222512" w:rsidRPr="00B824E6" w:rsidRDefault="00222512" w:rsidP="00A81FB1">
                            <w:pPr>
                              <w:pStyle w:val="Header"/>
                              <w:rPr>
                                <w:sz w:val="22"/>
                              </w:rPr>
                            </w:pPr>
                          </w:p>
                          <w:p w14:paraId="77FFCCEE" w14:textId="71B98509" w:rsidR="00222512" w:rsidRPr="00B824E6" w:rsidRDefault="00222512" w:rsidP="00A81FB1">
                            <w:pPr>
                              <w:pStyle w:val="Header"/>
                              <w:rPr>
                                <w:sz w:val="22"/>
                                <w:u w:val="single"/>
                              </w:rPr>
                            </w:pPr>
                            <w:r w:rsidRPr="00B824E6">
                              <w:rPr>
                                <w:sz w:val="22"/>
                                <w:u w:val="single"/>
                              </w:rPr>
                              <w:t>Oficina de Brooklyn</w:t>
                            </w:r>
                            <w:r w:rsidRPr="00B824E6">
                              <w:rPr>
                                <w:sz w:val="22"/>
                              </w:rPr>
                              <w:t xml:space="preserve">                                       </w:t>
                            </w:r>
                            <w:r w:rsidRPr="00B824E6">
                              <w:rPr>
                                <w:sz w:val="22"/>
                                <w:u w:val="single"/>
                              </w:rPr>
                              <w:t>Oficina de Queens</w:t>
                            </w:r>
                          </w:p>
                          <w:p w14:paraId="27FDE8AE" w14:textId="14A1771F" w:rsidR="00222512" w:rsidRPr="00B824E6" w:rsidRDefault="00222512" w:rsidP="00A81FB1">
                            <w:pPr>
                              <w:pStyle w:val="Header"/>
                              <w:rPr>
                                <w:sz w:val="22"/>
                              </w:rPr>
                            </w:pPr>
                            <w:r w:rsidRPr="00B824E6">
                              <w:rPr>
                                <w:sz w:val="22"/>
                              </w:rPr>
                              <w:t xml:space="preserve">191 </w:t>
                            </w:r>
                            <w:proofErr w:type="spellStart"/>
                            <w:r w:rsidRPr="00B824E6">
                              <w:rPr>
                                <w:sz w:val="22"/>
                              </w:rPr>
                              <w:t>Joralemon</w:t>
                            </w:r>
                            <w:proofErr w:type="spellEnd"/>
                            <w:r w:rsidRPr="00B824E6">
                              <w:rPr>
                                <w:sz w:val="22"/>
                              </w:rPr>
                              <w:t xml:space="preserve"> Street 4o Piso                     47-01 Queens </w:t>
                            </w:r>
                            <w:proofErr w:type="spellStart"/>
                            <w:r w:rsidRPr="00B824E6">
                              <w:rPr>
                                <w:sz w:val="22"/>
                              </w:rPr>
                              <w:t>Blvd</w:t>
                            </w:r>
                            <w:proofErr w:type="spellEnd"/>
                            <w:r w:rsidRPr="00B824E6">
                              <w:rPr>
                                <w:sz w:val="22"/>
                              </w:rPr>
                              <w:t xml:space="preserve"> Cuarto 203</w:t>
                            </w:r>
                          </w:p>
                          <w:p w14:paraId="042D0A0B" w14:textId="049D1308" w:rsidR="00222512" w:rsidRPr="00B824E6" w:rsidRDefault="00222512" w:rsidP="00A81FB1">
                            <w:pPr>
                              <w:pStyle w:val="Header"/>
                              <w:rPr>
                                <w:sz w:val="22"/>
                              </w:rPr>
                            </w:pPr>
                            <w:r w:rsidRPr="00B824E6">
                              <w:rPr>
                                <w:sz w:val="22"/>
                              </w:rPr>
                              <w:t>Brooklyn, NY 11201                                      Su</w:t>
                            </w:r>
                            <w:r w:rsidR="004671D2" w:rsidRPr="00B824E6">
                              <w:rPr>
                                <w:sz w:val="22"/>
                              </w:rPr>
                              <w:t>nn</w:t>
                            </w:r>
                            <w:r w:rsidRPr="00B824E6">
                              <w:rPr>
                                <w:sz w:val="22"/>
                              </w:rPr>
                              <w:t>yside, NY 11104</w:t>
                            </w:r>
                          </w:p>
                          <w:p w14:paraId="798D4541" w14:textId="2453422E" w:rsidR="00222512" w:rsidRPr="00B824E6" w:rsidRDefault="00222512" w:rsidP="00A81FB1">
                            <w:pPr>
                              <w:pStyle w:val="Header"/>
                              <w:rPr>
                                <w:sz w:val="22"/>
                              </w:rPr>
                            </w:pPr>
                            <w:r w:rsidRPr="00B824E6">
                              <w:rPr>
                                <w:sz w:val="22"/>
                              </w:rPr>
                              <w:t>(718)</w:t>
                            </w:r>
                            <w:r w:rsidR="004671D2" w:rsidRPr="00B824E6">
                              <w:rPr>
                                <w:sz w:val="22"/>
                              </w:rPr>
                              <w:t xml:space="preserve"> </w:t>
                            </w:r>
                            <w:r w:rsidRPr="00B824E6">
                              <w:rPr>
                                <w:sz w:val="22"/>
                              </w:rPr>
                              <w:t xml:space="preserve">236-3000                                           </w:t>
                            </w:r>
                            <w:proofErr w:type="gramStart"/>
                            <w:r w:rsidRPr="00B824E6">
                              <w:rPr>
                                <w:sz w:val="22"/>
                              </w:rPr>
                              <w:t xml:space="preserve">   (</w:t>
                            </w:r>
                            <w:proofErr w:type="gramEnd"/>
                            <w:r w:rsidRPr="00B824E6">
                              <w:rPr>
                                <w:sz w:val="22"/>
                              </w:rPr>
                              <w:t>347)</w:t>
                            </w:r>
                            <w:r w:rsidR="004671D2" w:rsidRPr="00B824E6">
                              <w:rPr>
                                <w:sz w:val="22"/>
                              </w:rPr>
                              <w:t xml:space="preserve"> </w:t>
                            </w:r>
                            <w:r w:rsidRPr="00B824E6">
                              <w:rPr>
                                <w:sz w:val="22"/>
                              </w:rPr>
                              <w:t xml:space="preserve">472-3500 </w:t>
                            </w:r>
                            <w:r w:rsidRPr="00B824E6">
                              <w:rPr>
                                <w:sz w:val="22"/>
                              </w:rPr>
                              <w:tab/>
                            </w:r>
                            <w:r w:rsidRPr="00B824E6">
                              <w:rPr>
                                <w:sz w:val="22"/>
                              </w:rPr>
                              <w:tab/>
                              <w:t xml:space="preserve">        </w:t>
                            </w:r>
                            <w:r w:rsidRPr="00B824E6">
                              <w:rPr>
                                <w:sz w:val="22"/>
                              </w:rPr>
                              <w:tab/>
                            </w:r>
                            <w:r w:rsidRPr="00B824E6">
                              <w:rPr>
                                <w:sz w:val="22"/>
                              </w:rPr>
                              <w:tab/>
                            </w:r>
                            <w:r w:rsidRPr="00B824E6">
                              <w:rPr>
                                <w:sz w:val="22"/>
                              </w:rPr>
                              <w:tab/>
                            </w:r>
                            <w:r w:rsidRPr="00B824E6">
                              <w:rPr>
                                <w:sz w:val="22"/>
                              </w:rPr>
                              <w:tab/>
                            </w:r>
                            <w:r w:rsidRPr="00B824E6">
                              <w:rPr>
                                <w:sz w:val="22"/>
                              </w:rPr>
                              <w:tab/>
                              <w:t xml:space="preserve"> </w:t>
                            </w:r>
                          </w:p>
                          <w:p w14:paraId="3BA6C2AE" w14:textId="77777777" w:rsidR="00222512" w:rsidRPr="00B824E6" w:rsidRDefault="00222512" w:rsidP="00A81FB1">
                            <w:pPr>
                              <w:pStyle w:val="Header"/>
                              <w:rPr>
                                <w:sz w:val="22"/>
                              </w:rPr>
                            </w:pPr>
                          </w:p>
                          <w:p w14:paraId="07874EA1" w14:textId="77777777" w:rsidR="00222512" w:rsidRPr="00B824E6" w:rsidRDefault="00222512" w:rsidP="00A81FB1">
                            <w:pPr>
                              <w:pStyle w:val="Header"/>
                              <w:rPr>
                                <w:sz w:val="22"/>
                              </w:rPr>
                            </w:pPr>
                          </w:p>
                          <w:p w14:paraId="6CE0198D" w14:textId="77777777" w:rsidR="00222512" w:rsidRPr="00B824E6" w:rsidRDefault="00222512" w:rsidP="00A81FB1">
                            <w:pPr>
                              <w:rPr>
                                <w:sz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648F6" id="Rectangle 1" o:spid="_x0000_s1026" style="position:absolute;left:0;text-align:left;margin-left:135.7pt;margin-top:0;width:348.75pt;height:84.75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" fillcolor="#dce6ee" stroked="f">
                <v:textbox inset=",0,,0">
                  <w:txbxContent>
                    <w:p w14:paraId="4C231684" w14:textId="77777777" w:rsidR="00222512" w:rsidRPr="00B824E6" w:rsidRDefault="00222512" w:rsidP="00A81FB1">
                      <w:pPr>
                        <w:pStyle w:val="Header"/>
                        <w:rPr>
                          <w:sz w:val="22"/>
                        </w:rPr>
                      </w:pPr>
                    </w:p>
                    <w:p w14:paraId="77FFCCEE" w14:textId="71B98509" w:rsidR="00222512" w:rsidRPr="00B824E6" w:rsidRDefault="00222512" w:rsidP="00A81FB1">
                      <w:pPr>
                        <w:pStyle w:val="Header"/>
                        <w:rPr>
                          <w:sz w:val="22"/>
                          <w:u w:val="single"/>
                        </w:rPr>
                      </w:pPr>
                      <w:r w:rsidRPr="00B824E6">
                        <w:rPr>
                          <w:sz w:val="22"/>
                          <w:u w:val="single"/>
                        </w:rPr>
                        <w:t>Oficina de Brooklyn</w:t>
                      </w:r>
                      <w:r w:rsidRPr="00B824E6">
                        <w:rPr>
                          <w:sz w:val="22"/>
                        </w:rPr>
                        <w:t xml:space="preserve">                                       </w:t>
                      </w:r>
                      <w:r w:rsidRPr="00B824E6">
                        <w:rPr>
                          <w:sz w:val="22"/>
                          <w:u w:val="single"/>
                        </w:rPr>
                        <w:t>Oficina de Queens</w:t>
                      </w:r>
                    </w:p>
                    <w:p w14:paraId="27FDE8AE" w14:textId="14A1771F" w:rsidR="00222512" w:rsidRPr="00B824E6" w:rsidRDefault="00222512" w:rsidP="00A81FB1">
                      <w:pPr>
                        <w:pStyle w:val="Header"/>
                        <w:rPr>
                          <w:sz w:val="22"/>
                        </w:rPr>
                      </w:pPr>
                      <w:r w:rsidRPr="00B824E6">
                        <w:rPr>
                          <w:sz w:val="22"/>
                        </w:rPr>
                        <w:t xml:space="preserve">191 </w:t>
                      </w:r>
                      <w:proofErr w:type="spellStart"/>
                      <w:r w:rsidRPr="00B824E6">
                        <w:rPr>
                          <w:sz w:val="22"/>
                        </w:rPr>
                        <w:t>Joralemon</w:t>
                      </w:r>
                      <w:proofErr w:type="spellEnd"/>
                      <w:r w:rsidRPr="00B824E6">
                        <w:rPr>
                          <w:sz w:val="22"/>
                        </w:rPr>
                        <w:t xml:space="preserve"> Street 4o Piso                     47-01 Queens </w:t>
                      </w:r>
                      <w:proofErr w:type="spellStart"/>
                      <w:r w:rsidRPr="00B824E6">
                        <w:rPr>
                          <w:sz w:val="22"/>
                        </w:rPr>
                        <w:t>Blvd</w:t>
                      </w:r>
                      <w:proofErr w:type="spellEnd"/>
                      <w:r w:rsidRPr="00B824E6">
                        <w:rPr>
                          <w:sz w:val="22"/>
                        </w:rPr>
                        <w:t xml:space="preserve"> Cuarto 203</w:t>
                      </w:r>
                    </w:p>
                    <w:p w14:paraId="042D0A0B" w14:textId="049D1308" w:rsidR="00222512" w:rsidRPr="00B824E6" w:rsidRDefault="00222512" w:rsidP="00A81FB1">
                      <w:pPr>
                        <w:pStyle w:val="Header"/>
                        <w:rPr>
                          <w:sz w:val="22"/>
                        </w:rPr>
                      </w:pPr>
                      <w:r w:rsidRPr="00B824E6">
                        <w:rPr>
                          <w:sz w:val="22"/>
                        </w:rPr>
                        <w:t>Brooklyn, NY 11201                                      Su</w:t>
                      </w:r>
                      <w:r w:rsidR="004671D2" w:rsidRPr="00B824E6">
                        <w:rPr>
                          <w:sz w:val="22"/>
                        </w:rPr>
                        <w:t>nn</w:t>
                      </w:r>
                      <w:r w:rsidRPr="00B824E6">
                        <w:rPr>
                          <w:sz w:val="22"/>
                        </w:rPr>
                        <w:t>yside, NY 11104</w:t>
                      </w:r>
                    </w:p>
                    <w:p w14:paraId="798D4541" w14:textId="2453422E" w:rsidR="00222512" w:rsidRPr="00B824E6" w:rsidRDefault="00222512" w:rsidP="00A81FB1">
                      <w:pPr>
                        <w:pStyle w:val="Header"/>
                        <w:rPr>
                          <w:sz w:val="22"/>
                        </w:rPr>
                      </w:pPr>
                      <w:r w:rsidRPr="00B824E6">
                        <w:rPr>
                          <w:sz w:val="22"/>
                        </w:rPr>
                        <w:t>(718)</w:t>
                      </w:r>
                      <w:r w:rsidR="004671D2" w:rsidRPr="00B824E6">
                        <w:rPr>
                          <w:sz w:val="22"/>
                        </w:rPr>
                        <w:t xml:space="preserve"> </w:t>
                      </w:r>
                      <w:r w:rsidRPr="00B824E6">
                        <w:rPr>
                          <w:sz w:val="22"/>
                        </w:rPr>
                        <w:t xml:space="preserve">236-3000                                           </w:t>
                      </w:r>
                      <w:proofErr w:type="gramStart"/>
                      <w:r w:rsidRPr="00B824E6">
                        <w:rPr>
                          <w:sz w:val="22"/>
                        </w:rPr>
                        <w:t xml:space="preserve">   (</w:t>
                      </w:r>
                      <w:proofErr w:type="gramEnd"/>
                      <w:r w:rsidRPr="00B824E6">
                        <w:rPr>
                          <w:sz w:val="22"/>
                        </w:rPr>
                        <w:t>347)</w:t>
                      </w:r>
                      <w:r w:rsidR="004671D2" w:rsidRPr="00B824E6">
                        <w:rPr>
                          <w:sz w:val="22"/>
                        </w:rPr>
                        <w:t xml:space="preserve"> </w:t>
                      </w:r>
                      <w:r w:rsidRPr="00B824E6">
                        <w:rPr>
                          <w:sz w:val="22"/>
                        </w:rPr>
                        <w:t xml:space="preserve">472-3500 </w:t>
                      </w:r>
                      <w:r w:rsidRPr="00B824E6">
                        <w:rPr>
                          <w:sz w:val="22"/>
                        </w:rPr>
                        <w:tab/>
                      </w:r>
                      <w:r w:rsidRPr="00B824E6">
                        <w:rPr>
                          <w:sz w:val="22"/>
                        </w:rPr>
                        <w:tab/>
                        <w:t xml:space="preserve">        </w:t>
                      </w:r>
                      <w:r w:rsidRPr="00B824E6">
                        <w:rPr>
                          <w:sz w:val="22"/>
                        </w:rPr>
                        <w:tab/>
                      </w:r>
                      <w:r w:rsidRPr="00B824E6">
                        <w:rPr>
                          <w:sz w:val="22"/>
                        </w:rPr>
                        <w:tab/>
                      </w:r>
                      <w:r w:rsidRPr="00B824E6">
                        <w:rPr>
                          <w:sz w:val="22"/>
                        </w:rPr>
                        <w:tab/>
                      </w:r>
                      <w:r w:rsidRPr="00B824E6">
                        <w:rPr>
                          <w:sz w:val="22"/>
                        </w:rPr>
                        <w:tab/>
                      </w:r>
                      <w:r w:rsidRPr="00B824E6">
                        <w:rPr>
                          <w:sz w:val="22"/>
                        </w:rPr>
                        <w:tab/>
                        <w:t xml:space="preserve"> </w:t>
                      </w:r>
                    </w:p>
                    <w:p w14:paraId="3BA6C2AE" w14:textId="77777777" w:rsidR="00222512" w:rsidRPr="00B824E6" w:rsidRDefault="00222512" w:rsidP="00A81FB1">
                      <w:pPr>
                        <w:pStyle w:val="Header"/>
                        <w:rPr>
                          <w:sz w:val="22"/>
                        </w:rPr>
                      </w:pPr>
                    </w:p>
                    <w:p w14:paraId="07874EA1" w14:textId="77777777" w:rsidR="00222512" w:rsidRPr="00B824E6" w:rsidRDefault="00222512" w:rsidP="00A81FB1">
                      <w:pPr>
                        <w:pStyle w:val="Header"/>
                        <w:rPr>
                          <w:sz w:val="22"/>
                        </w:rPr>
                      </w:pPr>
                    </w:p>
                    <w:p w14:paraId="6CE0198D" w14:textId="77777777" w:rsidR="00222512" w:rsidRPr="00B824E6" w:rsidRDefault="00222512" w:rsidP="00A81FB1">
                      <w:pPr>
                        <w:rPr>
                          <w:sz w:val="22"/>
                        </w:rPr>
                      </w:pPr>
                    </w:p>
                  </w:txbxContent>
                </v:textbox>
                <w10:wrap type="through" anchory="margin"/>
              </v:rect>
            </w:pict>
          </mc:Fallback>
        </mc:AlternateContent>
      </w:r>
      <w:r>
        <w:rPr>
          <w:rStyle w:val="normaltextrun"/>
          <w:rFonts w:ascii="Calibri" w:hAnsi="Calibri" w:cs="Calibri"/>
          <w:b/>
          <w:bCs/>
          <w:noProof/>
          <w:color w:val="0070C0"/>
          <w:sz w:val="28"/>
          <w:szCs w:val="28"/>
        </w:rPr>
        <w:drawing>
          <wp:anchor distT="0" distB="0" distL="114300" distR="114300" simplePos="0" relativeHeight="251658240" behindDoc="0" locked="0" layoutInCell="1" allowOverlap="1" wp14:anchorId="3798490F" wp14:editId="0BA586A2">
            <wp:simplePos x="0" y="0"/>
            <wp:positionH relativeFrom="column">
              <wp:posOffset>-238125</wp:posOffset>
            </wp:positionH>
            <wp:positionV relativeFrom="paragraph">
              <wp:posOffset>0</wp:posOffset>
            </wp:positionV>
            <wp:extent cx="1914525" cy="956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5C8">
        <w:rPr>
          <w:rStyle w:val="normaltextrun"/>
          <w:rFonts w:ascii="Calibri" w:hAnsi="Calibri" w:cs="Calibri"/>
          <w:b/>
          <w:bCs/>
          <w:color w:val="0070C0"/>
          <w:sz w:val="28"/>
          <w:szCs w:val="28"/>
        </w:rPr>
        <w:br w:type="textWrapping" w:clear="all"/>
      </w:r>
      <w:r w:rsidR="00F415C8" w:rsidRPr="007A1DC3">
        <w:rPr>
          <w:rStyle w:val="normaltextrun"/>
          <w:rFonts w:ascii="Calibri" w:hAnsi="Calibri" w:cs="Calibri"/>
          <w:b/>
          <w:bCs/>
          <w:color w:val="0070C0"/>
          <w:sz w:val="40"/>
          <w:szCs w:val="40"/>
        </w:rPr>
        <w:t>CONOZCA SUS DERECHOS- UNA ACTUALIZACIÓN DE DACA (DICIEMBRE 2020)</w:t>
      </w:r>
    </w:p>
    <w:p w14:paraId="78C2A7A7" w14:textId="77777777" w:rsidR="00F415C8" w:rsidRPr="00A81FB1" w:rsidRDefault="00F415C8" w:rsidP="00A81FB1">
      <w:r w:rsidRPr="00A81FB1">
        <w:rPr>
          <w:rStyle w:val="normaltextrun"/>
        </w:rPr>
        <w:t>El viernes, 4 de diciembre de 2020, un Juez Federal en Nueva York emitió una orden que restauró el Programa de la Acción Deferida para los Llegados en la Infancia (“DACA” por sus siglas en inglés) al estado que había antes que la administración de Trump intentó a terminarlo en 2017. </w:t>
      </w:r>
      <w:r w:rsidRPr="00A81FB1">
        <w:rPr>
          <w:rStyle w:val="eop"/>
        </w:rPr>
        <w:t> </w:t>
      </w:r>
    </w:p>
    <w:p w14:paraId="13759932" w14:textId="1815E948" w:rsidR="006B6A77" w:rsidRPr="00A81FB1" w:rsidRDefault="00FF6EF7" w:rsidP="00A81FB1">
      <w:pPr>
        <w:rPr>
          <w:rStyle w:val="normaltextrun"/>
          <w:szCs w:val="24"/>
          <w:u w:val="single"/>
        </w:rPr>
      </w:pPr>
      <w:r w:rsidRPr="00A81FB1">
        <w:rPr>
          <w:rStyle w:val="normaltextrun"/>
          <w:szCs w:val="24"/>
        </w:rPr>
        <w:t xml:space="preserve">Esta significa que ahora, el gobierno necesita aceptar las solicitudes de DACA por la primera vez de los individuos que son elegibles para </w:t>
      </w:r>
      <w:r w:rsidR="00EA0576" w:rsidRPr="00A81FB1">
        <w:rPr>
          <w:rStyle w:val="normaltextrun"/>
          <w:szCs w:val="24"/>
        </w:rPr>
        <w:t>inscribirse</w:t>
      </w:r>
      <w:r w:rsidRPr="00A81FB1">
        <w:rPr>
          <w:rStyle w:val="normaltextrun"/>
          <w:szCs w:val="24"/>
        </w:rPr>
        <w:t xml:space="preserve"> en el programa, aceptar las solicitudes del adelantado de reingresos</w:t>
      </w:r>
      <w:r w:rsidR="00E237AB" w:rsidRPr="00A81FB1">
        <w:rPr>
          <w:rStyle w:val="normaltextrun"/>
          <w:szCs w:val="24"/>
        </w:rPr>
        <w:t xml:space="preserve"> </w:t>
      </w:r>
      <w:r w:rsidR="00E237AB" w:rsidRPr="00A81FB1">
        <w:rPr>
          <w:rStyle w:val="normaltextrun"/>
          <w:i/>
          <w:iCs/>
          <w:szCs w:val="24"/>
        </w:rPr>
        <w:t>(advance parole</w:t>
      </w:r>
      <w:r w:rsidR="00E237AB" w:rsidRPr="00A81FB1">
        <w:rPr>
          <w:rStyle w:val="normaltextrun"/>
          <w:szCs w:val="24"/>
        </w:rPr>
        <w:t xml:space="preserve"> por sus siglas en inglés)</w:t>
      </w:r>
      <w:r w:rsidRPr="00A81FB1">
        <w:rPr>
          <w:rStyle w:val="normaltextrun"/>
          <w:szCs w:val="24"/>
        </w:rPr>
        <w:t xml:space="preserve"> y restaurar el tiempo de renovación de dos años para la protección de DACA y los permisos de trabajo. </w:t>
      </w:r>
    </w:p>
    <w:p w14:paraId="3C36476E" w14:textId="283EFCD1" w:rsidR="00F415C8" w:rsidRPr="00F415C8" w:rsidRDefault="00F415C8" w:rsidP="00A81FB1">
      <w:pPr>
        <w:pStyle w:val="Heading2"/>
        <w:rPr>
          <w:rFonts w:ascii="Segoe UI" w:hAnsi="Segoe UI" w:cs="Segoe UI"/>
          <w:sz w:val="18"/>
          <w:szCs w:val="18"/>
        </w:rPr>
      </w:pPr>
      <w:r>
        <w:rPr>
          <w:rStyle w:val="normaltextrun"/>
          <w:rFonts w:ascii="Calibri" w:hAnsi="Calibri" w:cs="Calibri"/>
          <w:u w:val="single"/>
        </w:rPr>
        <w:t>¿Qué Significa Para Mí?</w:t>
      </w:r>
      <w:r>
        <w:rPr>
          <w:rStyle w:val="normaltextrun"/>
          <w:rFonts w:ascii="Calibri" w:hAnsi="Calibri" w:cs="Calibri"/>
        </w:rPr>
        <w:t> </w:t>
      </w:r>
      <w:r w:rsidRPr="00F415C8">
        <w:rPr>
          <w:rStyle w:val="eop"/>
          <w:rFonts w:ascii="Calibri" w:hAnsi="Calibri" w:cs="Calibri"/>
        </w:rPr>
        <w:t> </w:t>
      </w:r>
    </w:p>
    <w:p w14:paraId="095F29DF" w14:textId="77777777" w:rsidR="00F415C8" w:rsidRPr="00031621" w:rsidRDefault="00F415C8" w:rsidP="00A81FB1">
      <w:pPr>
        <w:rPr>
          <w:rFonts w:ascii="Segoe UI" w:hAnsi="Segoe UI" w:cs="Segoe UI"/>
          <w:b/>
          <w:bCs/>
          <w:szCs w:val="24"/>
        </w:rPr>
      </w:pPr>
      <w:r w:rsidRPr="00031621">
        <w:rPr>
          <w:rStyle w:val="normaltextrun"/>
          <w:b/>
          <w:bCs/>
          <w:szCs w:val="24"/>
        </w:rPr>
        <w:t>Para los que ya recibe DACA</w:t>
      </w:r>
      <w:r w:rsidRPr="00031621">
        <w:rPr>
          <w:rStyle w:val="eop"/>
          <w:b/>
          <w:bCs/>
          <w:szCs w:val="24"/>
        </w:rPr>
        <w:t> </w:t>
      </w:r>
    </w:p>
    <w:p w14:paraId="22D5FA80" w14:textId="2ED0A463" w:rsidR="00F415C8" w:rsidRPr="00A81FB1" w:rsidRDefault="00F415C8" w:rsidP="00A81FB1">
      <w:pPr>
        <w:pStyle w:val="paragraph"/>
        <w:numPr>
          <w:ilvl w:val="0"/>
          <w:numId w:val="1"/>
        </w:numPr>
        <w:spacing w:before="0" w:beforeAutospacing="0" w:after="120" w:afterAutospacing="0"/>
      </w:pPr>
      <w:r w:rsidRPr="00A81FB1">
        <w:rPr>
          <w:rStyle w:val="normaltextrun"/>
          <w:rFonts w:ascii="Calibri" w:hAnsi="Calibri" w:cs="Calibri"/>
        </w:rPr>
        <w:t xml:space="preserve">Las personas que actualmente reciben DACA pueden continuar a solicitar para renovar su DACA. </w:t>
      </w:r>
      <w:r w:rsidR="003C6440" w:rsidRPr="00A81FB1">
        <w:rPr>
          <w:rStyle w:val="normaltextrun"/>
          <w:rFonts w:ascii="Calibri" w:hAnsi="Calibri" w:cs="Calibri"/>
        </w:rPr>
        <w:t xml:space="preserve">Se recomiende que usted manda la renovación </w:t>
      </w:r>
      <w:r w:rsidR="003C6440" w:rsidRPr="00A81FB1">
        <w:rPr>
          <w:rStyle w:val="normaltextrun"/>
          <w:rFonts w:ascii="Calibri" w:hAnsi="Calibri" w:cs="Calibri"/>
          <w:b/>
          <w:bCs/>
        </w:rPr>
        <w:t xml:space="preserve">entre 150 y 120 días de la fecha de vencimiento de su DACA actual. </w:t>
      </w:r>
    </w:p>
    <w:p w14:paraId="05F7B39B" w14:textId="4BE85D0B" w:rsidR="00F415C8" w:rsidRPr="00A81FB1" w:rsidRDefault="00F415C8" w:rsidP="00A81FB1">
      <w:pPr>
        <w:pStyle w:val="paragraph"/>
        <w:numPr>
          <w:ilvl w:val="0"/>
          <w:numId w:val="1"/>
        </w:numPr>
        <w:spacing w:before="0" w:beforeAutospacing="0" w:after="120" w:afterAutospacing="0"/>
      </w:pPr>
      <w:r w:rsidRPr="00A81FB1">
        <w:rPr>
          <w:rStyle w:val="normaltextrun"/>
          <w:rFonts w:ascii="Calibri" w:hAnsi="Calibri" w:cs="Calibri"/>
          <w:b/>
          <w:bCs/>
        </w:rPr>
        <w:t> </w:t>
      </w:r>
      <w:r w:rsidRPr="00A81FB1">
        <w:rPr>
          <w:rStyle w:val="normaltextrun"/>
          <w:rFonts w:ascii="Calibri" w:hAnsi="Calibri" w:cs="Calibri"/>
        </w:rPr>
        <w:t>Continúa</w:t>
      </w:r>
      <w:r w:rsidR="007E05DB" w:rsidRPr="00A81FB1">
        <w:rPr>
          <w:rStyle w:val="normaltextrun"/>
          <w:rFonts w:ascii="Calibri" w:hAnsi="Calibri" w:cs="Calibri"/>
        </w:rPr>
        <w:t>n</w:t>
      </w:r>
      <w:r w:rsidRPr="00A81FB1">
        <w:rPr>
          <w:rStyle w:val="normaltextrun"/>
          <w:rFonts w:ascii="Calibri" w:hAnsi="Calibri" w:cs="Calibri"/>
        </w:rPr>
        <w:t xml:space="preserve"> las protecciones y los beneficios de DACA (p.ej</w:t>
      </w:r>
      <w:r w:rsidR="00C84235" w:rsidRPr="00A81FB1">
        <w:rPr>
          <w:rStyle w:val="normaltextrun"/>
          <w:rFonts w:ascii="Calibri" w:hAnsi="Calibri" w:cs="Calibri"/>
        </w:rPr>
        <w:t>.</w:t>
      </w:r>
      <w:r w:rsidRPr="00A81FB1">
        <w:rPr>
          <w:rStyle w:val="normaltextrun"/>
          <w:rFonts w:ascii="Calibri" w:hAnsi="Calibri" w:cs="Calibri"/>
        </w:rPr>
        <w:t> la protección contra la deportación y los permisos de trabajo). </w:t>
      </w:r>
      <w:r w:rsidRPr="00A81FB1">
        <w:rPr>
          <w:rStyle w:val="eop"/>
          <w:rFonts w:ascii="Calibri" w:hAnsi="Calibri" w:cs="Calibri"/>
        </w:rPr>
        <w:t> </w:t>
      </w:r>
    </w:p>
    <w:p w14:paraId="0AB1F024" w14:textId="77777777" w:rsidR="00F415C8" w:rsidRPr="00A81FB1" w:rsidRDefault="00F415C8" w:rsidP="00A81FB1">
      <w:pPr>
        <w:pStyle w:val="paragraph"/>
        <w:numPr>
          <w:ilvl w:val="0"/>
          <w:numId w:val="1"/>
        </w:numPr>
        <w:spacing w:before="0" w:beforeAutospacing="0" w:after="120" w:afterAutospacing="0"/>
      </w:pPr>
      <w:r w:rsidRPr="00A81FB1">
        <w:rPr>
          <w:rStyle w:val="normaltextrun"/>
          <w:rFonts w:ascii="Calibri" w:hAnsi="Calibri" w:cs="Calibri"/>
        </w:rPr>
        <w:t>El periodo para renovar la DACA ha estado restaurado de un año a dos años </w:t>
      </w:r>
      <w:r w:rsidRPr="00A81FB1">
        <w:rPr>
          <w:rStyle w:val="eop"/>
          <w:rFonts w:ascii="Calibri" w:hAnsi="Calibri" w:cs="Calibri"/>
        </w:rPr>
        <w:t> </w:t>
      </w:r>
    </w:p>
    <w:p w14:paraId="67565CB5" w14:textId="28A17416" w:rsidR="00F415C8" w:rsidRPr="00A81FB1" w:rsidRDefault="00F415C8" w:rsidP="00A81FB1">
      <w:pPr>
        <w:pStyle w:val="paragraph"/>
        <w:numPr>
          <w:ilvl w:val="0"/>
          <w:numId w:val="1"/>
        </w:numPr>
        <w:spacing w:before="0" w:beforeAutospacing="0" w:after="120" w:afterAutospacing="0"/>
      </w:pPr>
      <w:r w:rsidRPr="00A81FB1">
        <w:rPr>
          <w:rStyle w:val="normaltextrun"/>
          <w:rFonts w:ascii="Calibri" w:hAnsi="Calibri" w:cs="Calibri"/>
        </w:rPr>
        <w:t xml:space="preserve">El </w:t>
      </w:r>
      <w:r w:rsidR="004D2381" w:rsidRPr="00A81FB1">
        <w:rPr>
          <w:rStyle w:val="normaltextrun"/>
          <w:rFonts w:ascii="Calibri" w:hAnsi="Calibri" w:cs="Calibri"/>
        </w:rPr>
        <w:t xml:space="preserve">honorario </w:t>
      </w:r>
      <w:r w:rsidRPr="00A81FB1">
        <w:rPr>
          <w:rStyle w:val="normaltextrun"/>
          <w:rFonts w:ascii="Calibri" w:hAnsi="Calibri" w:cs="Calibri"/>
        </w:rPr>
        <w:t>para renovarla todavía es $495 </w:t>
      </w:r>
      <w:r w:rsidRPr="00A81FB1">
        <w:rPr>
          <w:rStyle w:val="eop"/>
          <w:rFonts w:ascii="Calibri" w:hAnsi="Calibri" w:cs="Calibri"/>
        </w:rPr>
        <w:t> </w:t>
      </w:r>
    </w:p>
    <w:p w14:paraId="74139EF4" w14:textId="0D3BE15A" w:rsidR="00F415C8" w:rsidRPr="00031621" w:rsidRDefault="00F415C8" w:rsidP="00A81FB1">
      <w:pPr>
        <w:rPr>
          <w:rFonts w:ascii="Segoe UI" w:hAnsi="Segoe UI" w:cs="Segoe UI"/>
          <w:b/>
          <w:bCs/>
          <w:sz w:val="20"/>
          <w:szCs w:val="20"/>
        </w:rPr>
      </w:pPr>
      <w:r w:rsidRPr="00031621">
        <w:rPr>
          <w:rStyle w:val="normaltextrun"/>
          <w:b/>
          <w:bCs/>
          <w:szCs w:val="24"/>
        </w:rPr>
        <w:t>Para los que quiere solicitar para DACA por primera vez </w:t>
      </w:r>
      <w:r w:rsidRPr="00031621">
        <w:rPr>
          <w:rStyle w:val="eop"/>
          <w:b/>
          <w:bCs/>
          <w:szCs w:val="24"/>
        </w:rPr>
        <w:t> </w:t>
      </w:r>
    </w:p>
    <w:p w14:paraId="2FC5DD12" w14:textId="253CAA53" w:rsidR="00F415C8" w:rsidRPr="006E3634" w:rsidRDefault="00F415C8" w:rsidP="00A81FB1">
      <w:pPr>
        <w:pStyle w:val="paragraph"/>
        <w:rPr>
          <w:rFonts w:ascii="Segoe UI" w:hAnsi="Segoe UI" w:cs="Segoe UI"/>
          <w:sz w:val="20"/>
          <w:szCs w:val="20"/>
        </w:rPr>
      </w:pPr>
      <w:r w:rsidRPr="006E3634">
        <w:rPr>
          <w:rStyle w:val="normaltextrun"/>
          <w:rFonts w:ascii="Calibri" w:hAnsi="Calibri" w:cs="Calibri"/>
        </w:rPr>
        <w:t xml:space="preserve">El Servicio de Ciudadanía e Inmigración de los Estados Unidos (USCIS por sus siglas en inglés) aceptará las solicitudes iniciales </w:t>
      </w:r>
      <w:r w:rsidR="00C9238B" w:rsidRPr="006E3634">
        <w:rPr>
          <w:rStyle w:val="normaltextrun"/>
          <w:rFonts w:ascii="Calibri" w:hAnsi="Calibri" w:cs="Calibri"/>
        </w:rPr>
        <w:t>de</w:t>
      </w:r>
      <w:r w:rsidRPr="006E3634">
        <w:rPr>
          <w:rStyle w:val="normaltextrun"/>
          <w:rFonts w:ascii="Calibri" w:hAnsi="Calibri" w:cs="Calibri"/>
        </w:rPr>
        <w:t xml:space="preserve"> los individuos que cumplen con las normas de elegibilidad siguientes: </w:t>
      </w:r>
      <w:r w:rsidRPr="006E3634">
        <w:rPr>
          <w:rStyle w:val="eop"/>
          <w:rFonts w:ascii="Calibri" w:hAnsi="Calibri" w:cs="Calibri"/>
        </w:rPr>
        <w:t> </w:t>
      </w:r>
    </w:p>
    <w:p w14:paraId="54BEBAB4" w14:textId="36A50001" w:rsidR="00F415C8" w:rsidRPr="00031621" w:rsidRDefault="00F415C8" w:rsidP="004F2E2F">
      <w:pPr>
        <w:pStyle w:val="paragraph"/>
        <w:numPr>
          <w:ilvl w:val="0"/>
          <w:numId w:val="2"/>
        </w:numPr>
        <w:tabs>
          <w:tab w:val="clear" w:pos="720"/>
        </w:tabs>
        <w:spacing w:after="120" w:afterAutospacing="0"/>
        <w:rPr>
          <w:rFonts w:asciiTheme="minorHAnsi" w:hAnsiTheme="minorHAnsi" w:cstheme="minorHAnsi"/>
        </w:rPr>
      </w:pPr>
      <w:r w:rsidRPr="00031621">
        <w:rPr>
          <w:rStyle w:val="normaltextrun"/>
          <w:rFonts w:asciiTheme="minorHAnsi" w:hAnsiTheme="minorHAnsi" w:cstheme="minorHAnsi"/>
        </w:rPr>
        <w:t xml:space="preserve">Tenían menos de 31 </w:t>
      </w:r>
      <w:proofErr w:type="gramStart"/>
      <w:r w:rsidRPr="00031621">
        <w:rPr>
          <w:rStyle w:val="normaltextrun"/>
          <w:rFonts w:asciiTheme="minorHAnsi" w:hAnsiTheme="minorHAnsi" w:cstheme="minorHAnsi"/>
        </w:rPr>
        <w:t>años de edad</w:t>
      </w:r>
      <w:proofErr w:type="gramEnd"/>
      <w:r w:rsidRPr="00031621">
        <w:rPr>
          <w:rStyle w:val="normaltextrun"/>
          <w:rFonts w:asciiTheme="minorHAnsi" w:hAnsiTheme="minorHAnsi" w:cstheme="minorHAnsi"/>
        </w:rPr>
        <w:t xml:space="preserve"> </w:t>
      </w:r>
      <w:r w:rsidR="00CB5DC7" w:rsidRPr="00031621">
        <w:rPr>
          <w:rStyle w:val="normaltextrun"/>
          <w:rFonts w:asciiTheme="minorHAnsi" w:hAnsiTheme="minorHAnsi" w:cstheme="minorHAnsi"/>
        </w:rPr>
        <w:t>a partir de</w:t>
      </w:r>
      <w:r w:rsidR="002C6D45" w:rsidRPr="00031621">
        <w:rPr>
          <w:rStyle w:val="normaltextrun"/>
          <w:rFonts w:asciiTheme="minorHAnsi" w:hAnsiTheme="minorHAnsi" w:cstheme="minorHAnsi"/>
        </w:rPr>
        <w:t>l</w:t>
      </w:r>
      <w:r w:rsidRPr="00031621">
        <w:rPr>
          <w:rStyle w:val="normaltextrun"/>
          <w:rFonts w:asciiTheme="minorHAnsi" w:hAnsiTheme="minorHAnsi" w:cstheme="minorHAnsi"/>
        </w:rPr>
        <w:t xml:space="preserve"> 15 de junio de 2012; </w:t>
      </w:r>
      <w:r w:rsidRPr="00031621">
        <w:rPr>
          <w:rStyle w:val="eop"/>
          <w:rFonts w:asciiTheme="minorHAnsi" w:hAnsiTheme="minorHAnsi" w:cstheme="minorHAnsi"/>
        </w:rPr>
        <w:t> </w:t>
      </w:r>
    </w:p>
    <w:p w14:paraId="340D69F4" w14:textId="77777777" w:rsidR="00F415C8" w:rsidRPr="00031621" w:rsidRDefault="00F415C8" w:rsidP="004F2E2F">
      <w:pPr>
        <w:pStyle w:val="paragraph"/>
        <w:numPr>
          <w:ilvl w:val="0"/>
          <w:numId w:val="2"/>
        </w:numPr>
        <w:tabs>
          <w:tab w:val="clear" w:pos="720"/>
        </w:tabs>
        <w:spacing w:before="0" w:beforeAutospacing="0" w:after="120" w:afterAutospacing="0"/>
        <w:rPr>
          <w:rFonts w:asciiTheme="minorHAnsi" w:hAnsiTheme="minorHAnsi" w:cstheme="minorHAnsi"/>
        </w:rPr>
      </w:pPr>
      <w:r w:rsidRPr="00031621">
        <w:rPr>
          <w:rStyle w:val="normaltextrun"/>
          <w:rFonts w:asciiTheme="minorHAnsi" w:hAnsiTheme="minorHAnsi" w:cstheme="minorHAnsi"/>
        </w:rPr>
        <w:t>Llegaron a los Estados Unidos antes que cumplieron 16 años; </w:t>
      </w:r>
      <w:r w:rsidRPr="00031621">
        <w:rPr>
          <w:rStyle w:val="eop"/>
          <w:rFonts w:asciiTheme="minorHAnsi" w:hAnsiTheme="minorHAnsi" w:cstheme="minorHAnsi"/>
        </w:rPr>
        <w:t> </w:t>
      </w:r>
    </w:p>
    <w:p w14:paraId="01A671F6" w14:textId="77777777" w:rsidR="00F415C8" w:rsidRPr="00031621" w:rsidRDefault="00F415C8" w:rsidP="004F2E2F">
      <w:pPr>
        <w:pStyle w:val="paragraph"/>
        <w:numPr>
          <w:ilvl w:val="0"/>
          <w:numId w:val="3"/>
        </w:numPr>
        <w:tabs>
          <w:tab w:val="clear" w:pos="720"/>
        </w:tabs>
        <w:spacing w:before="0" w:beforeAutospacing="0" w:after="120" w:afterAutospacing="0"/>
        <w:rPr>
          <w:rFonts w:asciiTheme="minorHAnsi" w:hAnsiTheme="minorHAnsi" w:cstheme="minorHAnsi"/>
        </w:rPr>
      </w:pPr>
      <w:r w:rsidRPr="00031621">
        <w:rPr>
          <w:rStyle w:val="normaltextrun"/>
          <w:rFonts w:asciiTheme="minorHAnsi" w:hAnsiTheme="minorHAnsi" w:cstheme="minorHAnsi"/>
        </w:rPr>
        <w:t>Han vivido en los Estados Unidos continuamente desde el 15 de junio de 2007 hasta ahora;  </w:t>
      </w:r>
      <w:r w:rsidRPr="00031621">
        <w:rPr>
          <w:rStyle w:val="eop"/>
          <w:rFonts w:asciiTheme="minorHAnsi" w:hAnsiTheme="minorHAnsi" w:cstheme="minorHAnsi"/>
        </w:rPr>
        <w:t> </w:t>
      </w:r>
    </w:p>
    <w:p w14:paraId="696EA64F" w14:textId="12459E47" w:rsidR="00F415C8" w:rsidRPr="00031621" w:rsidRDefault="00CB5DC7" w:rsidP="004F2E2F">
      <w:pPr>
        <w:pStyle w:val="paragraph"/>
        <w:numPr>
          <w:ilvl w:val="1"/>
          <w:numId w:val="3"/>
        </w:numPr>
        <w:spacing w:after="120" w:afterAutospacing="0"/>
        <w:ind w:left="720"/>
        <w:rPr>
          <w:rFonts w:asciiTheme="minorHAnsi" w:hAnsiTheme="minorHAnsi" w:cstheme="minorHAnsi"/>
        </w:rPr>
      </w:pPr>
      <w:r w:rsidRPr="00031621">
        <w:rPr>
          <w:rFonts w:asciiTheme="minorHAnsi" w:hAnsiTheme="minorHAnsi" w:cstheme="minorHAnsi"/>
        </w:rPr>
        <w:t>Estaban físicamente ubicado</w:t>
      </w:r>
      <w:r w:rsidR="008E1483" w:rsidRPr="00031621">
        <w:rPr>
          <w:rFonts w:asciiTheme="minorHAnsi" w:hAnsiTheme="minorHAnsi" w:cstheme="minorHAnsi"/>
        </w:rPr>
        <w:t>s</w:t>
      </w:r>
      <w:r w:rsidRPr="00031621">
        <w:rPr>
          <w:rFonts w:asciiTheme="minorHAnsi" w:hAnsiTheme="minorHAnsi" w:cstheme="minorHAnsi"/>
        </w:rPr>
        <w:t xml:space="preserve"> en los Estados Unidos el 15 de junio de 2012 y solicitaban con USCIS para ser considerados para la acción deferida. </w:t>
      </w:r>
    </w:p>
    <w:p w14:paraId="54EF0A87" w14:textId="7F19EB34" w:rsidR="00F415C8" w:rsidRPr="00031621" w:rsidRDefault="00F415C8" w:rsidP="004F2E2F">
      <w:pPr>
        <w:pStyle w:val="paragraph"/>
        <w:numPr>
          <w:ilvl w:val="0"/>
          <w:numId w:val="3"/>
        </w:numPr>
        <w:tabs>
          <w:tab w:val="clear" w:pos="720"/>
        </w:tabs>
        <w:spacing w:after="120" w:afterAutospacing="0"/>
        <w:rPr>
          <w:rFonts w:asciiTheme="minorHAnsi" w:hAnsiTheme="minorHAnsi" w:cstheme="minorHAnsi"/>
        </w:rPr>
      </w:pPr>
      <w:r w:rsidRPr="00031621">
        <w:rPr>
          <w:rStyle w:val="normaltextrun"/>
          <w:rFonts w:asciiTheme="minorHAnsi" w:hAnsiTheme="minorHAnsi" w:cstheme="minorHAnsi"/>
        </w:rPr>
        <w:t xml:space="preserve">No tenían el estado de inmigración legal </w:t>
      </w:r>
      <w:r w:rsidR="009059A1" w:rsidRPr="00031621">
        <w:rPr>
          <w:rStyle w:val="normaltextrun"/>
          <w:rFonts w:asciiTheme="minorHAnsi" w:hAnsiTheme="minorHAnsi" w:cstheme="minorHAnsi"/>
        </w:rPr>
        <w:t>a partir de</w:t>
      </w:r>
      <w:r w:rsidR="00FE5F83" w:rsidRPr="00031621">
        <w:rPr>
          <w:rStyle w:val="normaltextrun"/>
          <w:rFonts w:asciiTheme="minorHAnsi" w:hAnsiTheme="minorHAnsi" w:cstheme="minorHAnsi"/>
        </w:rPr>
        <w:t>l</w:t>
      </w:r>
      <w:r w:rsidR="009059A1" w:rsidRPr="00031621">
        <w:rPr>
          <w:rStyle w:val="normaltextrun"/>
          <w:rFonts w:asciiTheme="minorHAnsi" w:hAnsiTheme="minorHAnsi" w:cstheme="minorHAnsi"/>
        </w:rPr>
        <w:t xml:space="preserve"> </w:t>
      </w:r>
      <w:r w:rsidRPr="00031621">
        <w:rPr>
          <w:rStyle w:val="normaltextrun"/>
          <w:rFonts w:asciiTheme="minorHAnsi" w:hAnsiTheme="minorHAnsi" w:cstheme="minorHAnsi"/>
        </w:rPr>
        <w:t>15 de junio de 2012. </w:t>
      </w:r>
      <w:r w:rsidRPr="00031621">
        <w:rPr>
          <w:rStyle w:val="eop"/>
          <w:rFonts w:asciiTheme="minorHAnsi" w:hAnsiTheme="minorHAnsi" w:cstheme="minorHAnsi"/>
        </w:rPr>
        <w:t> </w:t>
      </w:r>
    </w:p>
    <w:p w14:paraId="7173BC93" w14:textId="1139184C" w:rsidR="00F415C8" w:rsidRPr="00031621" w:rsidRDefault="00F415C8" w:rsidP="004F2E2F">
      <w:pPr>
        <w:pStyle w:val="paragraph"/>
        <w:numPr>
          <w:ilvl w:val="0"/>
          <w:numId w:val="3"/>
        </w:numPr>
        <w:tabs>
          <w:tab w:val="clear" w:pos="720"/>
        </w:tabs>
        <w:spacing w:after="120" w:afterAutospacing="0"/>
        <w:rPr>
          <w:rFonts w:asciiTheme="minorHAnsi" w:hAnsiTheme="minorHAnsi" w:cstheme="minorHAnsi"/>
        </w:rPr>
      </w:pPr>
      <w:r w:rsidRPr="00031621">
        <w:rPr>
          <w:rStyle w:val="normaltextrun"/>
          <w:rFonts w:asciiTheme="minorHAnsi" w:hAnsiTheme="minorHAnsi" w:cstheme="minorHAnsi"/>
        </w:rPr>
        <w:lastRenderedPageBreak/>
        <w:t xml:space="preserve">Están actualmente en la escuela, </w:t>
      </w:r>
      <w:r w:rsidR="00C74141" w:rsidRPr="00031621">
        <w:rPr>
          <w:rStyle w:val="normaltextrun"/>
          <w:rFonts w:asciiTheme="minorHAnsi" w:hAnsiTheme="minorHAnsi" w:cstheme="minorHAnsi"/>
        </w:rPr>
        <w:t xml:space="preserve">se </w:t>
      </w:r>
      <w:r w:rsidRPr="00031621">
        <w:rPr>
          <w:rStyle w:val="normaltextrun"/>
          <w:rFonts w:asciiTheme="minorHAnsi" w:hAnsiTheme="minorHAnsi" w:cstheme="minorHAnsi"/>
        </w:rPr>
        <w:t>han graduado u obtenido un certificado de terminación del colegio, han obtenido un certificado de desarrollo educativo general (GED por sus siglas en inglés) u otro examen autorizado por el estado en los Estados Unidos, o son veteranos de los Servicios de Guardacostas o las Fuerzas Armadas de los Estados Unidos dado de baja en forma honorable y;</w:t>
      </w:r>
      <w:r w:rsidRPr="00031621">
        <w:rPr>
          <w:rStyle w:val="eop"/>
          <w:rFonts w:asciiTheme="minorHAnsi" w:hAnsiTheme="minorHAnsi" w:cstheme="minorHAnsi"/>
        </w:rPr>
        <w:t> </w:t>
      </w:r>
    </w:p>
    <w:p w14:paraId="001643F3" w14:textId="77777777" w:rsidR="00F415C8" w:rsidRPr="00031621" w:rsidRDefault="00F415C8" w:rsidP="004F2E2F">
      <w:pPr>
        <w:pStyle w:val="paragraph"/>
        <w:numPr>
          <w:ilvl w:val="0"/>
          <w:numId w:val="3"/>
        </w:numPr>
        <w:tabs>
          <w:tab w:val="clear" w:pos="720"/>
        </w:tabs>
        <w:spacing w:after="120" w:afterAutospacing="0"/>
        <w:rPr>
          <w:rFonts w:asciiTheme="minorHAnsi" w:hAnsiTheme="minorHAnsi" w:cstheme="minorHAnsi"/>
        </w:rPr>
      </w:pPr>
      <w:r w:rsidRPr="00031621">
        <w:rPr>
          <w:rStyle w:val="normaltextrun"/>
          <w:rFonts w:asciiTheme="minorHAnsi" w:hAnsiTheme="minorHAnsi" w:cstheme="minorHAnsi"/>
        </w:rPr>
        <w:t>No han estado condenado de un delito mayor, un delito menor significante, tres delitos menores o más y no son considerados una amenaza a la seguridad nacional o la seguridad pública. </w:t>
      </w:r>
      <w:r w:rsidRPr="00031621">
        <w:rPr>
          <w:rStyle w:val="eop"/>
          <w:rFonts w:asciiTheme="minorHAnsi" w:hAnsiTheme="minorHAnsi" w:cstheme="minorHAnsi"/>
        </w:rPr>
        <w:t> </w:t>
      </w:r>
    </w:p>
    <w:p w14:paraId="71396E28" w14:textId="2182E0A4" w:rsidR="00F415C8" w:rsidRPr="004F2E2F" w:rsidRDefault="00F415C8" w:rsidP="002125E7">
      <w:pPr>
        <w:pStyle w:val="paragraph"/>
        <w:spacing w:before="120" w:beforeAutospacing="0" w:after="120" w:afterAutospacing="0"/>
        <w:rPr>
          <w:rFonts w:ascii="Segoe UI" w:hAnsi="Segoe UI" w:cs="Segoe UI"/>
          <w:b/>
          <w:bCs/>
          <w:sz w:val="18"/>
          <w:szCs w:val="18"/>
        </w:rPr>
      </w:pPr>
      <w:r w:rsidRPr="004F2E2F">
        <w:rPr>
          <w:rStyle w:val="normaltextrun"/>
          <w:rFonts w:ascii="Calibri" w:hAnsi="Calibri" w:cs="Calibri"/>
          <w:b/>
          <w:bCs/>
          <w:sz w:val="22"/>
          <w:szCs w:val="22"/>
        </w:rPr>
        <w:t>Adelantado de Reingresos </w:t>
      </w:r>
      <w:r w:rsidRPr="004F2E2F">
        <w:rPr>
          <w:rStyle w:val="eop"/>
          <w:rFonts w:ascii="Calibri" w:hAnsi="Calibri" w:cs="Calibri"/>
          <w:b/>
          <w:bCs/>
          <w:sz w:val="22"/>
          <w:szCs w:val="22"/>
        </w:rPr>
        <w:t> </w:t>
      </w:r>
    </w:p>
    <w:p w14:paraId="4343ED2B" w14:textId="2CE85EDF" w:rsidR="00F415C8" w:rsidRPr="002125E7" w:rsidRDefault="00F415C8" w:rsidP="002125E7">
      <w:pPr>
        <w:pStyle w:val="paragraph"/>
        <w:numPr>
          <w:ilvl w:val="0"/>
          <w:numId w:val="4"/>
        </w:numPr>
        <w:spacing w:before="0" w:beforeAutospacing="0" w:after="120" w:afterAutospacing="0"/>
      </w:pPr>
      <w:r w:rsidRPr="002125E7">
        <w:rPr>
          <w:rStyle w:val="normaltextrun"/>
          <w:rFonts w:ascii="Calibri" w:hAnsi="Calibri" w:cs="Calibri"/>
        </w:rPr>
        <w:t xml:space="preserve"> Aceptarán las solicitudes </w:t>
      </w:r>
      <w:r w:rsidR="000450E7" w:rsidRPr="002125E7">
        <w:rPr>
          <w:rStyle w:val="normaltextrun"/>
          <w:rFonts w:ascii="Calibri" w:hAnsi="Calibri" w:cs="Calibri"/>
        </w:rPr>
        <w:t xml:space="preserve">del </w:t>
      </w:r>
      <w:r w:rsidRPr="002125E7">
        <w:rPr>
          <w:rStyle w:val="normaltextrun"/>
          <w:rFonts w:ascii="Calibri" w:hAnsi="Calibri" w:cs="Calibri"/>
        </w:rPr>
        <w:t xml:space="preserve">adelantado de reingreso para </w:t>
      </w:r>
      <w:r w:rsidR="000450E7" w:rsidRPr="002125E7">
        <w:rPr>
          <w:rStyle w:val="normaltextrun"/>
          <w:rFonts w:ascii="Calibri" w:hAnsi="Calibri" w:cs="Calibri"/>
        </w:rPr>
        <w:t>viajar</w:t>
      </w:r>
      <w:r w:rsidRPr="002125E7">
        <w:rPr>
          <w:rStyle w:val="normaltextrun"/>
          <w:rFonts w:ascii="Calibri" w:hAnsi="Calibri" w:cs="Calibri"/>
        </w:rPr>
        <w:t xml:space="preserve"> fuera de los Estados Unidos por razones humanitarias o educativas. </w:t>
      </w:r>
      <w:r w:rsidRPr="002125E7">
        <w:rPr>
          <w:rStyle w:val="eop"/>
          <w:rFonts w:ascii="Calibri" w:hAnsi="Calibri" w:cs="Calibri"/>
        </w:rPr>
        <w:t> </w:t>
      </w:r>
    </w:p>
    <w:p w14:paraId="1FEE5CD2" w14:textId="3C0B8A2F" w:rsidR="00F415C8" w:rsidRPr="002125E7" w:rsidRDefault="00F415C8" w:rsidP="002125E7">
      <w:pPr>
        <w:pStyle w:val="paragraph"/>
        <w:numPr>
          <w:ilvl w:val="0"/>
          <w:numId w:val="4"/>
        </w:numPr>
        <w:spacing w:before="0" w:beforeAutospacing="0" w:after="120" w:afterAutospacing="0"/>
        <w:rPr>
          <w:rStyle w:val="eop"/>
          <w:rFonts w:ascii="Calibri" w:hAnsi="Calibri" w:cs="Calibri"/>
        </w:rPr>
      </w:pPr>
      <w:r w:rsidRPr="002125E7">
        <w:rPr>
          <w:rStyle w:val="normaltextrun"/>
          <w:rFonts w:ascii="Calibri" w:hAnsi="Calibri" w:cs="Calibri"/>
          <w:b/>
          <w:bCs/>
        </w:rPr>
        <w:t>IMPORTANTE:</w:t>
      </w:r>
      <w:r w:rsidRPr="002125E7">
        <w:rPr>
          <w:rStyle w:val="normaltextrun"/>
          <w:rFonts w:ascii="Calibri" w:hAnsi="Calibri" w:cs="Calibri"/>
        </w:rPr>
        <w:t> Si usted recibe el adelantado de reingresos, no es una garantiza que usted será permitido de volver a entrar a los EE. UU. Es importante que habla con un abogado de inmigración o representante acreditada del Departamento de Justicia para entender su situación ANTES DE viajar fuera de los EE. UU. </w:t>
      </w:r>
      <w:r w:rsidRPr="002125E7">
        <w:rPr>
          <w:rStyle w:val="eop"/>
          <w:rFonts w:ascii="Calibri" w:hAnsi="Calibri" w:cs="Calibri"/>
        </w:rPr>
        <w:t> </w:t>
      </w:r>
    </w:p>
    <w:p w14:paraId="3AD21C51" w14:textId="0DA1AC80" w:rsidR="00163EE9" w:rsidRPr="002125E7" w:rsidRDefault="00163EE9" w:rsidP="00A81FB1">
      <w:pPr>
        <w:pStyle w:val="paragraph"/>
        <w:rPr>
          <w:rFonts w:ascii="Segoe UI" w:hAnsi="Segoe UI" w:cs="Segoe UI"/>
          <w:b/>
          <w:bCs/>
          <w:sz w:val="28"/>
          <w:szCs w:val="28"/>
        </w:rPr>
      </w:pPr>
      <w:r w:rsidRPr="002125E7">
        <w:rPr>
          <w:rStyle w:val="normaltextrun"/>
          <w:rFonts w:ascii="Calibri" w:hAnsi="Calibri" w:cs="Calibri"/>
          <w:b/>
          <w:bCs/>
          <w:sz w:val="28"/>
          <w:szCs w:val="28"/>
          <w:u w:val="single"/>
        </w:rPr>
        <w:t>AYUDA LEGAL GRATIS PUEDE ESTAR DISPONIBLE</w:t>
      </w:r>
      <w:r w:rsidRPr="002125E7">
        <w:rPr>
          <w:rStyle w:val="eop"/>
          <w:rFonts w:ascii="Calibri" w:hAnsi="Calibri" w:cs="Calibri"/>
          <w:b/>
          <w:bCs/>
          <w:sz w:val="28"/>
          <w:szCs w:val="28"/>
        </w:rPr>
        <w:t> </w:t>
      </w:r>
    </w:p>
    <w:p w14:paraId="3A285AAD" w14:textId="2CACEFE4" w:rsidR="008F2131" w:rsidRPr="00F415C8" w:rsidRDefault="00672296" w:rsidP="00A81FB1">
      <w:r>
        <w:t>Todos que son elegibles para DACA deben consultar con un proveedor de servicios legales para información acerca de solicitar para DACA, renovar su DACA y/o evaluarse para la elegibilidad por otros beneficios de inmigración m</w:t>
      </w:r>
      <w:r>
        <w:rPr>
          <w:rFonts w:cstheme="minorHAnsi"/>
        </w:rPr>
        <w:t>á</w:t>
      </w:r>
      <w:r>
        <w:t>s permanentes. Para hacer una cita con Catholic Migration Services para ayuda legal gratis, llama a nuestra oficina al (718)-236-3000 (la oficina de Brooklyn) o (347)-472-3500 (la oficina de Queens) el lunes hasta el viernes entre las 9:00 am hasta las 5:00 pm. Para m</w:t>
      </w:r>
      <w:r>
        <w:rPr>
          <w:rFonts w:cstheme="minorHAnsi"/>
        </w:rPr>
        <w:t>á</w:t>
      </w:r>
      <w:r>
        <w:t>s información, visita nuestra p</w:t>
      </w:r>
      <w:r>
        <w:rPr>
          <w:rFonts w:cstheme="minorHAnsi"/>
        </w:rPr>
        <w:t>á</w:t>
      </w:r>
      <w:r>
        <w:t xml:space="preserve">gina web al </w:t>
      </w:r>
      <w:hyperlink r:id="rId8" w:history="1">
        <w:r w:rsidRPr="00834101">
          <w:rPr>
            <w:rStyle w:val="Hyperlink"/>
          </w:rPr>
          <w:t>www.catholicmigration.org</w:t>
        </w:r>
      </w:hyperlink>
      <w:r>
        <w:t xml:space="preserve"> y únase con nosotros </w:t>
      </w:r>
      <w:r w:rsidR="00B35EF2">
        <w:t xml:space="preserve">en las redes sociales por Facebook, Twitter y Instagram @ CMSBQ. Puede obtener la ayuda legal gratis también por llamar al 311 y pedir para “ActionNYC.” </w:t>
      </w:r>
    </w:p>
    <w:sectPr w:rsidR="008F2131" w:rsidRPr="00F415C8" w:rsidSect="00A81FB1">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FB56" w14:textId="77777777" w:rsidR="00EC7A75" w:rsidRDefault="00EC7A75" w:rsidP="00EC7A75">
      <w:pPr>
        <w:spacing w:after="0" w:line="240" w:lineRule="auto"/>
      </w:pPr>
      <w:r>
        <w:separator/>
      </w:r>
    </w:p>
  </w:endnote>
  <w:endnote w:type="continuationSeparator" w:id="0">
    <w:p w14:paraId="3A1737F0" w14:textId="77777777" w:rsidR="00EC7A75" w:rsidRDefault="00EC7A75" w:rsidP="00EC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88B4" w14:textId="6D45E4D6" w:rsidR="00EC7A75" w:rsidRPr="00EC7A75" w:rsidRDefault="00EC7A75">
    <w:pPr>
      <w:pStyle w:val="Footer"/>
      <w:rPr>
        <w:sz w:val="16"/>
        <w:szCs w:val="16"/>
      </w:rPr>
    </w:pPr>
    <w:proofErr w:type="spellStart"/>
    <w:r w:rsidRPr="00EC7A75">
      <w:rPr>
        <w:sz w:val="16"/>
        <w:szCs w:val="16"/>
      </w:rPr>
      <w:t>Dec</w:t>
    </w:r>
    <w:proofErr w:type="spellEnd"/>
    <w:r w:rsidRPr="00EC7A75">
      <w:rPr>
        <w:sz w:val="16"/>
        <w:szCs w:val="16"/>
      </w:rPr>
      <w:t>.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F4BD" w14:textId="77777777" w:rsidR="00EC7A75" w:rsidRDefault="00EC7A75" w:rsidP="00EC7A75">
      <w:pPr>
        <w:spacing w:after="0" w:line="240" w:lineRule="auto"/>
      </w:pPr>
      <w:r>
        <w:separator/>
      </w:r>
    </w:p>
  </w:footnote>
  <w:footnote w:type="continuationSeparator" w:id="0">
    <w:p w14:paraId="1972F9D4" w14:textId="77777777" w:rsidR="00EC7A75" w:rsidRDefault="00EC7A75" w:rsidP="00EC7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E73"/>
    <w:multiLevelType w:val="multilevel"/>
    <w:tmpl w:val="53A8D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4001"/>
    <w:multiLevelType w:val="multilevel"/>
    <w:tmpl w:val="6A4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50139"/>
    <w:multiLevelType w:val="multilevel"/>
    <w:tmpl w:val="3BF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384D77"/>
    <w:multiLevelType w:val="multilevel"/>
    <w:tmpl w:val="38FC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C8"/>
    <w:rsid w:val="00031621"/>
    <w:rsid w:val="000450E7"/>
    <w:rsid w:val="00163EE9"/>
    <w:rsid w:val="002125E7"/>
    <w:rsid w:val="00222512"/>
    <w:rsid w:val="002C6D45"/>
    <w:rsid w:val="003C6440"/>
    <w:rsid w:val="00453E71"/>
    <w:rsid w:val="004671D2"/>
    <w:rsid w:val="004D2381"/>
    <w:rsid w:val="004F2E2F"/>
    <w:rsid w:val="00672296"/>
    <w:rsid w:val="006B6A77"/>
    <w:rsid w:val="006E3634"/>
    <w:rsid w:val="007A1DC3"/>
    <w:rsid w:val="007E05DB"/>
    <w:rsid w:val="008E1483"/>
    <w:rsid w:val="008F2131"/>
    <w:rsid w:val="009059A1"/>
    <w:rsid w:val="00944A76"/>
    <w:rsid w:val="0095538D"/>
    <w:rsid w:val="00A750DA"/>
    <w:rsid w:val="00A81FB1"/>
    <w:rsid w:val="00B35EF2"/>
    <w:rsid w:val="00B50978"/>
    <w:rsid w:val="00B824E6"/>
    <w:rsid w:val="00C74141"/>
    <w:rsid w:val="00C84235"/>
    <w:rsid w:val="00C9238B"/>
    <w:rsid w:val="00CB5DC7"/>
    <w:rsid w:val="00E237AB"/>
    <w:rsid w:val="00EA0576"/>
    <w:rsid w:val="00EC7A75"/>
    <w:rsid w:val="00F415C8"/>
    <w:rsid w:val="00FE5F83"/>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51C4"/>
  <w15:chartTrackingRefBased/>
  <w15:docId w15:val="{4AE892AE-D82F-4A76-B3CC-D28BF386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B1"/>
    <w:rPr>
      <w:rFonts w:ascii="Calibri" w:hAnsi="Calibri" w:cs="Calibri"/>
      <w:sz w:val="24"/>
      <w:lang w:val="es-DO"/>
    </w:rPr>
  </w:style>
  <w:style w:type="paragraph" w:styleId="Heading2">
    <w:name w:val="heading 2"/>
    <w:basedOn w:val="Normal"/>
    <w:next w:val="Normal"/>
    <w:link w:val="Heading2Char"/>
    <w:uiPriority w:val="9"/>
    <w:unhideWhenUsed/>
    <w:qFormat/>
    <w:rsid w:val="00A81FB1"/>
    <w:pPr>
      <w:keepNext/>
      <w:keepLines/>
      <w:spacing w:before="40" w:after="12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15C8"/>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415C8"/>
  </w:style>
  <w:style w:type="character" w:customStyle="1" w:styleId="eop">
    <w:name w:val="eop"/>
    <w:basedOn w:val="DefaultParagraphFont"/>
    <w:rsid w:val="00F415C8"/>
  </w:style>
  <w:style w:type="paragraph" w:styleId="Header">
    <w:name w:val="header"/>
    <w:basedOn w:val="Normal"/>
    <w:link w:val="HeaderChar"/>
    <w:uiPriority w:val="99"/>
    <w:unhideWhenUsed/>
    <w:rsid w:val="0022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12"/>
  </w:style>
  <w:style w:type="character" w:styleId="Hyperlink">
    <w:name w:val="Hyperlink"/>
    <w:basedOn w:val="DefaultParagraphFont"/>
    <w:uiPriority w:val="99"/>
    <w:unhideWhenUsed/>
    <w:rsid w:val="00672296"/>
    <w:rPr>
      <w:color w:val="0563C1" w:themeColor="hyperlink"/>
      <w:u w:val="single"/>
    </w:rPr>
  </w:style>
  <w:style w:type="character" w:styleId="UnresolvedMention">
    <w:name w:val="Unresolved Mention"/>
    <w:basedOn w:val="DefaultParagraphFont"/>
    <w:uiPriority w:val="99"/>
    <w:semiHidden/>
    <w:unhideWhenUsed/>
    <w:rsid w:val="00672296"/>
    <w:rPr>
      <w:color w:val="605E5C"/>
      <w:shd w:val="clear" w:color="auto" w:fill="E1DFDD"/>
    </w:rPr>
  </w:style>
  <w:style w:type="character" w:customStyle="1" w:styleId="Heading2Char">
    <w:name w:val="Heading 2 Char"/>
    <w:basedOn w:val="DefaultParagraphFont"/>
    <w:link w:val="Heading2"/>
    <w:uiPriority w:val="9"/>
    <w:rsid w:val="00A81FB1"/>
    <w:rPr>
      <w:rFonts w:asciiTheme="majorHAnsi" w:eastAsiaTheme="majorEastAsia" w:hAnsiTheme="majorHAnsi" w:cstheme="majorBidi"/>
      <w:b/>
      <w:sz w:val="28"/>
      <w:szCs w:val="26"/>
    </w:rPr>
  </w:style>
  <w:style w:type="paragraph" w:styleId="Footer">
    <w:name w:val="footer"/>
    <w:basedOn w:val="Normal"/>
    <w:link w:val="FooterChar"/>
    <w:uiPriority w:val="99"/>
    <w:unhideWhenUsed/>
    <w:rsid w:val="00EC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75"/>
    <w:rPr>
      <w:rFonts w:ascii="Calibri" w:hAnsi="Calibri" w:cs="Calibri"/>
      <w:sz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05623">
      <w:bodyDiv w:val="1"/>
      <w:marLeft w:val="0"/>
      <w:marRight w:val="0"/>
      <w:marTop w:val="0"/>
      <w:marBottom w:val="0"/>
      <w:divBdr>
        <w:top w:val="none" w:sz="0" w:space="0" w:color="auto"/>
        <w:left w:val="none" w:sz="0" w:space="0" w:color="auto"/>
        <w:bottom w:val="none" w:sz="0" w:space="0" w:color="auto"/>
        <w:right w:val="none" w:sz="0" w:space="0" w:color="auto"/>
      </w:divBdr>
      <w:divsChild>
        <w:div w:id="1457136415">
          <w:marLeft w:val="0"/>
          <w:marRight w:val="0"/>
          <w:marTop w:val="0"/>
          <w:marBottom w:val="0"/>
          <w:divBdr>
            <w:top w:val="none" w:sz="0" w:space="0" w:color="auto"/>
            <w:left w:val="none" w:sz="0" w:space="0" w:color="auto"/>
            <w:bottom w:val="none" w:sz="0" w:space="0" w:color="auto"/>
            <w:right w:val="none" w:sz="0" w:space="0" w:color="auto"/>
          </w:divBdr>
        </w:div>
        <w:div w:id="1994791771">
          <w:marLeft w:val="0"/>
          <w:marRight w:val="0"/>
          <w:marTop w:val="0"/>
          <w:marBottom w:val="0"/>
          <w:divBdr>
            <w:top w:val="none" w:sz="0" w:space="0" w:color="auto"/>
            <w:left w:val="none" w:sz="0" w:space="0" w:color="auto"/>
            <w:bottom w:val="none" w:sz="0" w:space="0" w:color="auto"/>
            <w:right w:val="none" w:sz="0" w:space="0" w:color="auto"/>
          </w:divBdr>
        </w:div>
        <w:div w:id="232784787">
          <w:marLeft w:val="0"/>
          <w:marRight w:val="0"/>
          <w:marTop w:val="0"/>
          <w:marBottom w:val="0"/>
          <w:divBdr>
            <w:top w:val="none" w:sz="0" w:space="0" w:color="auto"/>
            <w:left w:val="none" w:sz="0" w:space="0" w:color="auto"/>
            <w:bottom w:val="none" w:sz="0" w:space="0" w:color="auto"/>
            <w:right w:val="none" w:sz="0" w:space="0" w:color="auto"/>
          </w:divBdr>
        </w:div>
        <w:div w:id="939026763">
          <w:marLeft w:val="0"/>
          <w:marRight w:val="0"/>
          <w:marTop w:val="0"/>
          <w:marBottom w:val="0"/>
          <w:divBdr>
            <w:top w:val="none" w:sz="0" w:space="0" w:color="auto"/>
            <w:left w:val="none" w:sz="0" w:space="0" w:color="auto"/>
            <w:bottom w:val="none" w:sz="0" w:space="0" w:color="auto"/>
            <w:right w:val="none" w:sz="0" w:space="0" w:color="auto"/>
          </w:divBdr>
        </w:div>
        <w:div w:id="824012215">
          <w:marLeft w:val="0"/>
          <w:marRight w:val="0"/>
          <w:marTop w:val="0"/>
          <w:marBottom w:val="0"/>
          <w:divBdr>
            <w:top w:val="none" w:sz="0" w:space="0" w:color="auto"/>
            <w:left w:val="none" w:sz="0" w:space="0" w:color="auto"/>
            <w:bottom w:val="none" w:sz="0" w:space="0" w:color="auto"/>
            <w:right w:val="none" w:sz="0" w:space="0" w:color="auto"/>
          </w:divBdr>
          <w:divsChild>
            <w:div w:id="205455884">
              <w:marLeft w:val="0"/>
              <w:marRight w:val="0"/>
              <w:marTop w:val="0"/>
              <w:marBottom w:val="0"/>
              <w:divBdr>
                <w:top w:val="none" w:sz="0" w:space="0" w:color="auto"/>
                <w:left w:val="none" w:sz="0" w:space="0" w:color="auto"/>
                <w:bottom w:val="none" w:sz="0" w:space="0" w:color="auto"/>
                <w:right w:val="none" w:sz="0" w:space="0" w:color="auto"/>
              </w:divBdr>
            </w:div>
            <w:div w:id="1370446612">
              <w:marLeft w:val="0"/>
              <w:marRight w:val="0"/>
              <w:marTop w:val="0"/>
              <w:marBottom w:val="0"/>
              <w:divBdr>
                <w:top w:val="none" w:sz="0" w:space="0" w:color="auto"/>
                <w:left w:val="none" w:sz="0" w:space="0" w:color="auto"/>
                <w:bottom w:val="none" w:sz="0" w:space="0" w:color="auto"/>
                <w:right w:val="none" w:sz="0" w:space="0" w:color="auto"/>
              </w:divBdr>
            </w:div>
          </w:divsChild>
        </w:div>
        <w:div w:id="1784882289">
          <w:marLeft w:val="0"/>
          <w:marRight w:val="0"/>
          <w:marTop w:val="0"/>
          <w:marBottom w:val="0"/>
          <w:divBdr>
            <w:top w:val="none" w:sz="0" w:space="0" w:color="auto"/>
            <w:left w:val="none" w:sz="0" w:space="0" w:color="auto"/>
            <w:bottom w:val="none" w:sz="0" w:space="0" w:color="auto"/>
            <w:right w:val="none" w:sz="0" w:space="0" w:color="auto"/>
          </w:divBdr>
          <w:divsChild>
            <w:div w:id="945238303">
              <w:marLeft w:val="0"/>
              <w:marRight w:val="0"/>
              <w:marTop w:val="0"/>
              <w:marBottom w:val="0"/>
              <w:divBdr>
                <w:top w:val="none" w:sz="0" w:space="0" w:color="auto"/>
                <w:left w:val="none" w:sz="0" w:space="0" w:color="auto"/>
                <w:bottom w:val="none" w:sz="0" w:space="0" w:color="auto"/>
                <w:right w:val="none" w:sz="0" w:space="0" w:color="auto"/>
              </w:divBdr>
            </w:div>
            <w:div w:id="343016879">
              <w:marLeft w:val="0"/>
              <w:marRight w:val="0"/>
              <w:marTop w:val="0"/>
              <w:marBottom w:val="0"/>
              <w:divBdr>
                <w:top w:val="none" w:sz="0" w:space="0" w:color="auto"/>
                <w:left w:val="none" w:sz="0" w:space="0" w:color="auto"/>
                <w:bottom w:val="none" w:sz="0" w:space="0" w:color="auto"/>
                <w:right w:val="none" w:sz="0" w:space="0" w:color="auto"/>
              </w:divBdr>
            </w:div>
            <w:div w:id="499809712">
              <w:marLeft w:val="0"/>
              <w:marRight w:val="0"/>
              <w:marTop w:val="0"/>
              <w:marBottom w:val="0"/>
              <w:divBdr>
                <w:top w:val="none" w:sz="0" w:space="0" w:color="auto"/>
                <w:left w:val="none" w:sz="0" w:space="0" w:color="auto"/>
                <w:bottom w:val="none" w:sz="0" w:space="0" w:color="auto"/>
                <w:right w:val="none" w:sz="0" w:space="0" w:color="auto"/>
              </w:divBdr>
            </w:div>
            <w:div w:id="2094079955">
              <w:marLeft w:val="0"/>
              <w:marRight w:val="0"/>
              <w:marTop w:val="0"/>
              <w:marBottom w:val="0"/>
              <w:divBdr>
                <w:top w:val="none" w:sz="0" w:space="0" w:color="auto"/>
                <w:left w:val="none" w:sz="0" w:space="0" w:color="auto"/>
                <w:bottom w:val="none" w:sz="0" w:space="0" w:color="auto"/>
                <w:right w:val="none" w:sz="0" w:space="0" w:color="auto"/>
              </w:divBdr>
            </w:div>
          </w:divsChild>
        </w:div>
        <w:div w:id="98836185">
          <w:marLeft w:val="0"/>
          <w:marRight w:val="0"/>
          <w:marTop w:val="0"/>
          <w:marBottom w:val="0"/>
          <w:divBdr>
            <w:top w:val="none" w:sz="0" w:space="0" w:color="auto"/>
            <w:left w:val="none" w:sz="0" w:space="0" w:color="auto"/>
            <w:bottom w:val="none" w:sz="0" w:space="0" w:color="auto"/>
            <w:right w:val="none" w:sz="0" w:space="0" w:color="auto"/>
          </w:divBdr>
          <w:divsChild>
            <w:div w:id="1203206923">
              <w:marLeft w:val="0"/>
              <w:marRight w:val="0"/>
              <w:marTop w:val="0"/>
              <w:marBottom w:val="0"/>
              <w:divBdr>
                <w:top w:val="none" w:sz="0" w:space="0" w:color="auto"/>
                <w:left w:val="none" w:sz="0" w:space="0" w:color="auto"/>
                <w:bottom w:val="none" w:sz="0" w:space="0" w:color="auto"/>
                <w:right w:val="none" w:sz="0" w:space="0" w:color="auto"/>
              </w:divBdr>
            </w:div>
          </w:divsChild>
        </w:div>
        <w:div w:id="1035347645">
          <w:marLeft w:val="0"/>
          <w:marRight w:val="0"/>
          <w:marTop w:val="0"/>
          <w:marBottom w:val="0"/>
          <w:divBdr>
            <w:top w:val="none" w:sz="0" w:space="0" w:color="auto"/>
            <w:left w:val="none" w:sz="0" w:space="0" w:color="auto"/>
            <w:bottom w:val="none" w:sz="0" w:space="0" w:color="auto"/>
            <w:right w:val="none" w:sz="0" w:space="0" w:color="auto"/>
          </w:divBdr>
          <w:divsChild>
            <w:div w:id="1917200252">
              <w:marLeft w:val="0"/>
              <w:marRight w:val="0"/>
              <w:marTop w:val="0"/>
              <w:marBottom w:val="0"/>
              <w:divBdr>
                <w:top w:val="none" w:sz="0" w:space="0" w:color="auto"/>
                <w:left w:val="none" w:sz="0" w:space="0" w:color="auto"/>
                <w:bottom w:val="none" w:sz="0" w:space="0" w:color="auto"/>
                <w:right w:val="none" w:sz="0" w:space="0" w:color="auto"/>
              </w:divBdr>
            </w:div>
            <w:div w:id="204409309">
              <w:marLeft w:val="0"/>
              <w:marRight w:val="0"/>
              <w:marTop w:val="0"/>
              <w:marBottom w:val="0"/>
              <w:divBdr>
                <w:top w:val="none" w:sz="0" w:space="0" w:color="auto"/>
                <w:left w:val="none" w:sz="0" w:space="0" w:color="auto"/>
                <w:bottom w:val="none" w:sz="0" w:space="0" w:color="auto"/>
                <w:right w:val="none" w:sz="0" w:space="0" w:color="auto"/>
              </w:divBdr>
            </w:div>
            <w:div w:id="2146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536">
      <w:bodyDiv w:val="1"/>
      <w:marLeft w:val="0"/>
      <w:marRight w:val="0"/>
      <w:marTop w:val="0"/>
      <w:marBottom w:val="0"/>
      <w:divBdr>
        <w:top w:val="none" w:sz="0" w:space="0" w:color="auto"/>
        <w:left w:val="none" w:sz="0" w:space="0" w:color="auto"/>
        <w:bottom w:val="none" w:sz="0" w:space="0" w:color="auto"/>
        <w:right w:val="none" w:sz="0" w:space="0" w:color="auto"/>
      </w:divBdr>
      <w:divsChild>
        <w:div w:id="1644895174">
          <w:marLeft w:val="0"/>
          <w:marRight w:val="0"/>
          <w:marTop w:val="0"/>
          <w:marBottom w:val="0"/>
          <w:divBdr>
            <w:top w:val="none" w:sz="0" w:space="0" w:color="auto"/>
            <w:left w:val="none" w:sz="0" w:space="0" w:color="auto"/>
            <w:bottom w:val="none" w:sz="0" w:space="0" w:color="auto"/>
            <w:right w:val="none" w:sz="0" w:space="0" w:color="auto"/>
          </w:divBdr>
        </w:div>
        <w:div w:id="872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migration.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4F4969C76714C9FA774B314442F28" ma:contentTypeVersion="11" ma:contentTypeDescription="Create a new document." ma:contentTypeScope="" ma:versionID="3fe874b3e1086578978c84609796b419">
  <xsd:schema xmlns:xsd="http://www.w3.org/2001/XMLSchema" xmlns:xs="http://www.w3.org/2001/XMLSchema" xmlns:p="http://schemas.microsoft.com/office/2006/metadata/properties" xmlns:ns2="8b270a55-a3bd-4c57-9ab7-f2c42e426a27" xmlns:ns3="a99de9b9-62b4-4322-a41b-42157cc0cef9" targetNamespace="http://schemas.microsoft.com/office/2006/metadata/properties" ma:root="true" ma:fieldsID="6de436cb9ac557dd462dc6cb243b0e04" ns2:_="" ns3:_="">
    <xsd:import namespace="8b270a55-a3bd-4c57-9ab7-f2c42e426a27"/>
    <xsd:import namespace="a99de9b9-62b4-4322-a41b-42157cc0c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70a55-a3bd-4c57-9ab7-f2c42e426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de9b9-62b4-4322-a41b-42157cc0ce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2AC18-D4C6-4AC1-8C68-F89C74A223B5}"/>
</file>

<file path=customXml/itemProps2.xml><?xml version="1.0" encoding="utf-8"?>
<ds:datastoreItem xmlns:ds="http://schemas.openxmlformats.org/officeDocument/2006/customXml" ds:itemID="{10550BF8-80B8-43F5-AB2A-57BD1702DC1C}"/>
</file>

<file path=customXml/itemProps3.xml><?xml version="1.0" encoding="utf-8"?>
<ds:datastoreItem xmlns:ds="http://schemas.openxmlformats.org/officeDocument/2006/customXml" ds:itemID="{FF63C00D-8872-430B-B01A-B567D83F4807}"/>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Rybaltowski</dc:creator>
  <cp:keywords/>
  <dc:description/>
  <cp:lastModifiedBy>David Colodny</cp:lastModifiedBy>
  <cp:revision>14</cp:revision>
  <dcterms:created xsi:type="dcterms:W3CDTF">2020-12-14T16:18:00Z</dcterms:created>
  <dcterms:modified xsi:type="dcterms:W3CDTF">2020-12-14T16:31:00Z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0x01010012D4F4969C76714C9FA774B314442F28</vt:lpwstr>
  </property>
</Properties>
</file>